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0599" w:type="dxa"/>
        <w:tblLook w:val="04A0" w:firstRow="1" w:lastRow="0" w:firstColumn="1" w:lastColumn="0" w:noHBand="0" w:noVBand="1"/>
      </w:tblPr>
      <w:tblGrid>
        <w:gridCol w:w="1919"/>
        <w:gridCol w:w="8680"/>
      </w:tblGrid>
      <w:tr w:rsidR="0073674A" w:rsidTr="0073674A">
        <w:trPr>
          <w:trHeight w:val="483"/>
        </w:trPr>
        <w:tc>
          <w:tcPr>
            <w:tcW w:w="10599" w:type="dxa"/>
            <w:gridSpan w:val="2"/>
            <w:shd w:val="clear" w:color="auto" w:fill="7030A0"/>
          </w:tcPr>
          <w:p w:rsidR="0073674A" w:rsidRPr="0073674A" w:rsidRDefault="0073674A" w:rsidP="0073674A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73674A">
              <w:rPr>
                <w:b/>
                <w:color w:val="FFFFFF" w:themeColor="background1"/>
                <w:sz w:val="40"/>
                <w:szCs w:val="40"/>
              </w:rPr>
              <w:t xml:space="preserve">Work Related Learning – Achieving Aspirations at </w:t>
            </w:r>
            <w:proofErr w:type="spellStart"/>
            <w:r w:rsidRPr="0073674A">
              <w:rPr>
                <w:b/>
                <w:color w:val="FFFFFF" w:themeColor="background1"/>
                <w:sz w:val="40"/>
                <w:szCs w:val="40"/>
              </w:rPr>
              <w:t>Nethergate</w:t>
            </w:r>
            <w:proofErr w:type="spellEnd"/>
          </w:p>
        </w:tc>
      </w:tr>
      <w:tr w:rsidR="0073674A" w:rsidTr="0073674A">
        <w:trPr>
          <w:trHeight w:val="430"/>
        </w:trPr>
        <w:tc>
          <w:tcPr>
            <w:tcW w:w="1919" w:type="dxa"/>
            <w:shd w:val="clear" w:color="auto" w:fill="D1B2E8"/>
          </w:tcPr>
          <w:p w:rsidR="0073674A" w:rsidRDefault="0073674A" w:rsidP="0073674A">
            <w:r w:rsidRPr="0033389F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C51C78" wp14:editId="54E20D5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1072662" cy="729568"/>
                  <wp:effectExtent l="0" t="0" r="0" b="0"/>
                  <wp:wrapNone/>
                  <wp:docPr id="4" name="Picture 4" descr="Z:\Office\Clipart, Certificates, borders etc\GAT NEW LOGOS\Nethergate-logo-2-lines-cmyk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ffice\Clipart, Certificates, borders etc\GAT NEW LOGOS\Nethergate-logo-2-lines-cmyk-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6" t="26798" r="27866" b="29713"/>
                          <a:stretch/>
                        </pic:blipFill>
                        <pic:spPr bwMode="auto">
                          <a:xfrm>
                            <a:off x="0" y="0"/>
                            <a:ext cx="1072662" cy="7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74A" w:rsidRDefault="0073674A" w:rsidP="0073674A"/>
          <w:p w:rsidR="0073674A" w:rsidRDefault="0073674A" w:rsidP="0073674A"/>
          <w:p w:rsidR="0073674A" w:rsidRDefault="0073674A" w:rsidP="0073674A"/>
          <w:p w:rsidR="0073674A" w:rsidRDefault="0073674A" w:rsidP="0073674A"/>
          <w:p w:rsidR="0073674A" w:rsidRPr="0073674A" w:rsidRDefault="0073674A" w:rsidP="0073674A">
            <w:pPr>
              <w:rPr>
                <w:b/>
                <w:sz w:val="28"/>
                <w:szCs w:val="28"/>
              </w:rPr>
            </w:pPr>
            <w:r w:rsidRPr="0073674A">
              <w:rPr>
                <w:b/>
                <w:sz w:val="28"/>
                <w:szCs w:val="28"/>
              </w:rPr>
              <w:t>Whole School</w:t>
            </w:r>
          </w:p>
        </w:tc>
        <w:tc>
          <w:tcPr>
            <w:tcW w:w="8680" w:type="dxa"/>
          </w:tcPr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>A planned programme of whole school assemblies led by members of the community to raise awareness of the world of work. Regular visitors include the police and fire service.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>The international dimension across the curriculum, which includes working partner schools in other countries, broadens understanding of the wider world. A focus on equality and diversity is in place to challenge stereotypes and raise aspirations.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 xml:space="preserve">PSHE across school </w:t>
            </w:r>
            <w:proofErr w:type="gramStart"/>
            <w:r>
              <w:t>is embedded</w:t>
            </w:r>
            <w:proofErr w:type="gramEnd"/>
            <w:r>
              <w:t xml:space="preserve"> into the curriculum to develop self-awareness and empower pupils to form opinions and </w:t>
            </w:r>
            <w:r w:rsidR="001019E9">
              <w:t>gain self-confidence to en</w:t>
            </w:r>
            <w:r>
              <w:t>able them to engage and succeed in the world of work.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>A personalised curriculum in response to the needs identified in the young person’s Education H</w:t>
            </w:r>
            <w:r w:rsidR="001019E9">
              <w:t>ealth Care Plan. The curriculum is broad and balanced and prioritises</w:t>
            </w:r>
            <w:r>
              <w:t xml:space="preserve"> </w:t>
            </w:r>
            <w:r w:rsidR="001019E9">
              <w:t xml:space="preserve"> opportunities for numeracy, literacy,</w:t>
            </w:r>
            <w:r>
              <w:t xml:space="preserve"> communication</w:t>
            </w:r>
            <w:r w:rsidR="001019E9">
              <w:t xml:space="preserve"> and social skills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>An active school council involved in interviewing new staff and improving the school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>Student involvement in running a school allotment, which grows food for use in life skills lessons and our school lunches.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1"/>
              </w:numPr>
            </w:pPr>
            <w:r>
              <w:t>Forest schools sessions for pupils across school promote confidence, independence, risk taking and problem solving skills.</w:t>
            </w:r>
          </w:p>
        </w:tc>
      </w:tr>
      <w:tr w:rsidR="0073674A" w:rsidTr="0073674A">
        <w:trPr>
          <w:trHeight w:val="483"/>
        </w:trPr>
        <w:tc>
          <w:tcPr>
            <w:tcW w:w="1919" w:type="dxa"/>
            <w:shd w:val="clear" w:color="auto" w:fill="FF0066"/>
          </w:tcPr>
          <w:p w:rsidR="0073674A" w:rsidRPr="0073674A" w:rsidRDefault="0073674A" w:rsidP="0073674A">
            <w:pPr>
              <w:rPr>
                <w:b/>
                <w:sz w:val="28"/>
                <w:szCs w:val="28"/>
              </w:rPr>
            </w:pPr>
            <w:r w:rsidRPr="0073674A">
              <w:rPr>
                <w:b/>
                <w:sz w:val="28"/>
                <w:szCs w:val="28"/>
              </w:rPr>
              <w:t xml:space="preserve">Primary </w:t>
            </w:r>
          </w:p>
        </w:tc>
        <w:tc>
          <w:tcPr>
            <w:tcW w:w="8680" w:type="dxa"/>
          </w:tcPr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 xml:space="preserve">Life skills and lessons introducing the world of work </w:t>
            </w:r>
            <w:proofErr w:type="gramStart"/>
            <w:r>
              <w:t>are planned</w:t>
            </w:r>
            <w:proofErr w:type="gramEnd"/>
            <w:r>
              <w:t xml:space="preserve"> into the curriculum through engaging themes to broaden pupil’s awareness of local industry and jobs and to develop an understanding of money and enterprise. 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>Primar</w:t>
            </w:r>
            <w:r w:rsidR="001019E9">
              <w:t>y Parliament workshops with our mainstream peers in Nottingham city engage year 5 and 6 pupils in investigation and debate concerning their community and the wider world</w:t>
            </w:r>
            <w:r>
              <w:t>.</w:t>
            </w:r>
          </w:p>
        </w:tc>
      </w:tr>
      <w:tr w:rsidR="0073674A" w:rsidTr="0073674A">
        <w:trPr>
          <w:trHeight w:val="483"/>
        </w:trPr>
        <w:tc>
          <w:tcPr>
            <w:tcW w:w="1919" w:type="dxa"/>
            <w:shd w:val="clear" w:color="auto" w:fill="FFFF66"/>
          </w:tcPr>
          <w:p w:rsidR="0073674A" w:rsidRPr="0073674A" w:rsidRDefault="0073674A" w:rsidP="0073674A">
            <w:pPr>
              <w:rPr>
                <w:b/>
                <w:sz w:val="28"/>
                <w:szCs w:val="28"/>
              </w:rPr>
            </w:pPr>
            <w:r w:rsidRPr="0073674A">
              <w:rPr>
                <w:b/>
                <w:sz w:val="28"/>
                <w:szCs w:val="28"/>
              </w:rPr>
              <w:t>Key Stage 3</w:t>
            </w:r>
          </w:p>
        </w:tc>
        <w:tc>
          <w:tcPr>
            <w:tcW w:w="8680" w:type="dxa"/>
          </w:tcPr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 xml:space="preserve">Work related learning themes are planned across the year  </w:t>
            </w:r>
          </w:p>
          <w:p w:rsidR="0073674A" w:rsidRDefault="0073674A" w:rsidP="0073674A">
            <w:r>
              <w:t xml:space="preserve">‘Money and budgets’ ‘Enterprise project’ ‘Aspirations What could you do?’ ‘Technology and mass production’ ‘Jobs in the community’ 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>Individual advice and guidance through learning reviews of personal targets and work related learning opportunities throughout the year.</w:t>
            </w:r>
          </w:p>
        </w:tc>
      </w:tr>
      <w:tr w:rsidR="0073674A" w:rsidTr="0073674A">
        <w:trPr>
          <w:trHeight w:val="483"/>
        </w:trPr>
        <w:tc>
          <w:tcPr>
            <w:tcW w:w="1919" w:type="dxa"/>
            <w:shd w:val="clear" w:color="auto" w:fill="A7D971"/>
          </w:tcPr>
          <w:p w:rsidR="0073674A" w:rsidRPr="0073674A" w:rsidRDefault="0073674A" w:rsidP="0073674A">
            <w:pPr>
              <w:rPr>
                <w:b/>
                <w:sz w:val="28"/>
                <w:szCs w:val="28"/>
              </w:rPr>
            </w:pPr>
            <w:r w:rsidRPr="0073674A">
              <w:rPr>
                <w:b/>
                <w:sz w:val="28"/>
                <w:szCs w:val="28"/>
              </w:rPr>
              <w:t>Key Stage 4</w:t>
            </w:r>
          </w:p>
        </w:tc>
        <w:tc>
          <w:tcPr>
            <w:tcW w:w="8680" w:type="dxa"/>
          </w:tcPr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 xml:space="preserve">Accredited learning pathways for all abilities including personal progress, </w:t>
            </w:r>
            <w:proofErr w:type="gramStart"/>
            <w:r>
              <w:t>entry level</w:t>
            </w:r>
            <w:proofErr w:type="gramEnd"/>
            <w:r>
              <w:t xml:space="preserve"> qualifications and GCSEs. 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>Impartial careers advice and guidance through Futures (independent body) at the annual EHCP meeting, and regular student review meetings.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>Pupils regularly plan and deliver community events such as ‘Fair Trade café’, ‘Red Nose Day’ and other enterprise projects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 xml:space="preserve">Travel training  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>Vocational college placements</w:t>
            </w:r>
          </w:p>
          <w:p w:rsidR="0073674A" w:rsidRDefault="0073674A" w:rsidP="0073674A">
            <w:pPr>
              <w:pStyle w:val="ListParagraph"/>
              <w:numPr>
                <w:ilvl w:val="0"/>
                <w:numId w:val="2"/>
              </w:numPr>
            </w:pPr>
            <w:r>
              <w:t xml:space="preserve">Duke of Edinburgh Award Scheme </w:t>
            </w:r>
          </w:p>
        </w:tc>
      </w:tr>
      <w:tr w:rsidR="0073674A" w:rsidTr="0073674A">
        <w:trPr>
          <w:trHeight w:val="430"/>
        </w:trPr>
        <w:tc>
          <w:tcPr>
            <w:tcW w:w="1919" w:type="dxa"/>
            <w:shd w:val="clear" w:color="auto" w:fill="4FD1FF"/>
          </w:tcPr>
          <w:p w:rsidR="0073674A" w:rsidRPr="0073674A" w:rsidRDefault="0073674A" w:rsidP="0073674A">
            <w:pPr>
              <w:rPr>
                <w:b/>
                <w:sz w:val="28"/>
                <w:szCs w:val="28"/>
              </w:rPr>
            </w:pPr>
            <w:r w:rsidRPr="0073674A">
              <w:rPr>
                <w:b/>
                <w:sz w:val="28"/>
                <w:szCs w:val="28"/>
              </w:rPr>
              <w:t>Sixth Form</w:t>
            </w:r>
          </w:p>
        </w:tc>
        <w:tc>
          <w:tcPr>
            <w:tcW w:w="8680" w:type="dxa"/>
          </w:tcPr>
          <w:p w:rsidR="0073674A" w:rsidRPr="00924B2A" w:rsidRDefault="0073674A" w:rsidP="0073674A">
            <w:r>
              <w:t xml:space="preserve">Accredited learning pathways tailored to individual need, including functional skills, vocational qualifications and personal and social development skills. All students take part in work experience and </w:t>
            </w:r>
            <w:r w:rsidR="003951BB">
              <w:t xml:space="preserve">vocational </w:t>
            </w:r>
            <w:bookmarkStart w:id="0" w:name="_GoBack"/>
            <w:bookmarkEnd w:id="0"/>
            <w:r>
              <w:t>college pl</w:t>
            </w:r>
            <w:r w:rsidR="001019E9">
              <w:t>acements and we offer individual travel training.</w:t>
            </w:r>
            <w:r>
              <w:t xml:space="preserve"> </w:t>
            </w:r>
            <w:r w:rsidR="001D4DD3">
              <w:t>Students receive impartial careers advice and g</w:t>
            </w:r>
            <w:r>
              <w:t>uidance through Futures (independent body) at annual EHCP meetings and student review meetings. Personal Learning and Thinking Skills (PLTS) underpin learning.</w:t>
            </w:r>
          </w:p>
          <w:p w:rsidR="0073674A" w:rsidRPr="00C7197C" w:rsidRDefault="0073674A" w:rsidP="0073674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C7197C">
              <w:rPr>
                <w:u w:val="single"/>
              </w:rPr>
              <w:t>Employability Pathway</w:t>
            </w:r>
            <w:r>
              <w:rPr>
                <w:u w:val="single"/>
              </w:rPr>
              <w:t xml:space="preserve"> </w:t>
            </w:r>
            <w:r>
              <w:t xml:space="preserve"> - Functional Maths, English and ICT, employability and personal skills development, interview technique, CV writing, development of communication skills </w:t>
            </w:r>
            <w:proofErr w:type="spellStart"/>
            <w:r>
              <w:t>etc</w:t>
            </w:r>
            <w:proofErr w:type="spellEnd"/>
            <w:r>
              <w:t>,</w:t>
            </w:r>
          </w:p>
          <w:p w:rsidR="0073674A" w:rsidRPr="00C7197C" w:rsidRDefault="0073674A" w:rsidP="0073674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Independent Living Pathway</w:t>
            </w:r>
            <w:r>
              <w:t xml:space="preserve"> – Self-management, independent living skills, communication skills</w:t>
            </w:r>
          </w:p>
        </w:tc>
      </w:tr>
      <w:tr w:rsidR="0073674A" w:rsidTr="0073674A">
        <w:trPr>
          <w:trHeight w:val="430"/>
        </w:trPr>
        <w:tc>
          <w:tcPr>
            <w:tcW w:w="1919" w:type="dxa"/>
            <w:shd w:val="clear" w:color="auto" w:fill="EEB500"/>
          </w:tcPr>
          <w:p w:rsidR="0073674A" w:rsidRPr="0073674A" w:rsidRDefault="0073674A" w:rsidP="0073674A">
            <w:pPr>
              <w:rPr>
                <w:b/>
                <w:sz w:val="28"/>
                <w:szCs w:val="28"/>
              </w:rPr>
            </w:pPr>
            <w:r w:rsidRPr="0073674A">
              <w:rPr>
                <w:b/>
                <w:sz w:val="28"/>
                <w:szCs w:val="28"/>
              </w:rPr>
              <w:t>Post 16 Supported Internship</w:t>
            </w:r>
          </w:p>
        </w:tc>
        <w:tc>
          <w:tcPr>
            <w:tcW w:w="8680" w:type="dxa"/>
          </w:tcPr>
          <w:p w:rsidR="0073674A" w:rsidRPr="00C7197C" w:rsidRDefault="0073674A" w:rsidP="0073674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A study programme in association with </w:t>
            </w:r>
            <w:proofErr w:type="spellStart"/>
            <w:r>
              <w:t>Mencap</w:t>
            </w:r>
            <w:proofErr w:type="spellEnd"/>
            <w:r>
              <w:t xml:space="preserve"> aimed at progressing young people with learning difficulties into paid employment.</w:t>
            </w:r>
            <w:r w:rsidR="001019E9">
              <w:t xml:space="preserve"> Work placements are sought in response to each individual’s strengths and interests with a view to </w:t>
            </w:r>
            <w:proofErr w:type="gramStart"/>
            <w:r w:rsidR="001019E9">
              <w:t>longer term</w:t>
            </w:r>
            <w:proofErr w:type="gramEnd"/>
            <w:r w:rsidR="001019E9">
              <w:t xml:space="preserve"> employment.</w:t>
            </w:r>
          </w:p>
        </w:tc>
      </w:tr>
    </w:tbl>
    <w:p w:rsidR="00B44340" w:rsidRDefault="00B44340"/>
    <w:sectPr w:rsidR="00B44340" w:rsidSect="00736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34A"/>
    <w:multiLevelType w:val="hybridMultilevel"/>
    <w:tmpl w:val="87E2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C1B"/>
    <w:multiLevelType w:val="hybridMultilevel"/>
    <w:tmpl w:val="F89A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3F4C"/>
    <w:multiLevelType w:val="hybridMultilevel"/>
    <w:tmpl w:val="B072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6"/>
    <w:rsid w:val="000178B3"/>
    <w:rsid w:val="000D46B2"/>
    <w:rsid w:val="001019E9"/>
    <w:rsid w:val="001D4DD3"/>
    <w:rsid w:val="00234242"/>
    <w:rsid w:val="002778C6"/>
    <w:rsid w:val="002D0A8B"/>
    <w:rsid w:val="00323BAA"/>
    <w:rsid w:val="0033389F"/>
    <w:rsid w:val="003951BB"/>
    <w:rsid w:val="0073674A"/>
    <w:rsid w:val="008C6E16"/>
    <w:rsid w:val="00924B2A"/>
    <w:rsid w:val="009D38E1"/>
    <w:rsid w:val="00B44340"/>
    <w:rsid w:val="00C7197C"/>
    <w:rsid w:val="00D13A78"/>
    <w:rsid w:val="00D4660C"/>
    <w:rsid w:val="00E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A76F"/>
  <w15:chartTrackingRefBased/>
  <w15:docId w15:val="{002577CF-56F8-4E66-959D-8D17150C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Wood</dc:creator>
  <cp:keywords/>
  <dc:description/>
  <cp:lastModifiedBy>Shelly Wood</cp:lastModifiedBy>
  <cp:revision>2</cp:revision>
  <cp:lastPrinted>2017-09-16T14:31:00Z</cp:lastPrinted>
  <dcterms:created xsi:type="dcterms:W3CDTF">2017-09-27T07:26:00Z</dcterms:created>
  <dcterms:modified xsi:type="dcterms:W3CDTF">2017-09-27T07:26:00Z</dcterms:modified>
</cp:coreProperties>
</file>